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A6" w:rsidRPr="00A82480" w:rsidRDefault="00AA0045" w:rsidP="00CE31A6">
      <w:pPr>
        <w:spacing w:after="0" w:line="240" w:lineRule="auto"/>
        <w:jc w:val="center"/>
        <w:rPr>
          <w:rFonts w:ascii="Goudy Old Style" w:hAnsi="Goudy Old Style"/>
          <w:b/>
          <w:color w:val="1F4E79" w:themeColor="accent1" w:themeShade="80"/>
          <w:sz w:val="36"/>
          <w:szCs w:val="36"/>
        </w:rPr>
      </w:pPr>
      <w:r w:rsidRPr="00A82480">
        <w:rPr>
          <w:rFonts w:ascii="Goudy Old Style" w:hAnsi="Goudy Old Style"/>
          <w:b/>
          <w:color w:val="1F4E79" w:themeColor="accent1" w:themeShade="80"/>
          <w:sz w:val="36"/>
          <w:szCs w:val="36"/>
        </w:rPr>
        <w:t>Report on</w:t>
      </w:r>
    </w:p>
    <w:p w:rsidR="00E604B3" w:rsidRPr="00A82480" w:rsidRDefault="00AA0045" w:rsidP="00CE31A6">
      <w:pPr>
        <w:spacing w:after="0" w:line="240" w:lineRule="auto"/>
        <w:jc w:val="center"/>
        <w:rPr>
          <w:rFonts w:ascii="Goudy Old Style" w:hAnsi="Goudy Old Style"/>
          <w:b/>
          <w:color w:val="1F4E79" w:themeColor="accent1" w:themeShade="80"/>
          <w:sz w:val="36"/>
          <w:szCs w:val="36"/>
        </w:rPr>
      </w:pPr>
      <w:r w:rsidRPr="00A82480">
        <w:rPr>
          <w:rFonts w:ascii="Goudy Old Style" w:hAnsi="Goudy Old Style"/>
          <w:b/>
          <w:color w:val="1F4E79" w:themeColor="accent1" w:themeShade="80"/>
          <w:sz w:val="36"/>
          <w:szCs w:val="36"/>
        </w:rPr>
        <w:t>Convergence – 1</w:t>
      </w:r>
    </w:p>
    <w:p w:rsidR="00A82480" w:rsidRPr="00A82480" w:rsidRDefault="00A82480" w:rsidP="00CE31A6">
      <w:pPr>
        <w:spacing w:after="0" w:line="240" w:lineRule="auto"/>
        <w:jc w:val="center"/>
        <w:rPr>
          <w:rFonts w:ascii="Goudy Old Style" w:hAnsi="Goudy Old Style"/>
          <w:b/>
          <w:color w:val="1F4E79" w:themeColor="accent1" w:themeShade="80"/>
          <w:sz w:val="24"/>
          <w:szCs w:val="24"/>
        </w:rPr>
      </w:pPr>
      <w:r w:rsidRPr="00A82480">
        <w:rPr>
          <w:rFonts w:ascii="Goudy Old Style" w:hAnsi="Goudy Old Style"/>
          <w:b/>
          <w:color w:val="1F4E79" w:themeColor="accent1" w:themeShade="80"/>
          <w:sz w:val="24"/>
          <w:szCs w:val="24"/>
        </w:rPr>
        <w:t>(A TLC Follow-up Program)</w:t>
      </w:r>
    </w:p>
    <w:p w:rsidR="00CE31A6" w:rsidRPr="00CE31A6" w:rsidRDefault="00CE31A6" w:rsidP="00CE31A6">
      <w:pPr>
        <w:spacing w:after="0" w:line="240" w:lineRule="auto"/>
        <w:jc w:val="center"/>
        <w:rPr>
          <w:rFonts w:ascii="Copperplate Gothic Bold" w:hAnsi="Copperplate Gothic Bold"/>
          <w:color w:val="1F4E79" w:themeColor="accent1" w:themeShade="80"/>
          <w:sz w:val="36"/>
          <w:szCs w:val="36"/>
        </w:rPr>
      </w:pPr>
      <w:r w:rsidRPr="00A82480">
        <w:rPr>
          <w:rFonts w:ascii="Goudy Old Style" w:hAnsi="Goudy Old Style"/>
          <w:b/>
          <w:color w:val="1F4E79" w:themeColor="accent1" w:themeShade="80"/>
          <w:sz w:val="36"/>
          <w:szCs w:val="36"/>
        </w:rPr>
        <w:t>April 25, 2018</w:t>
      </w:r>
    </w:p>
    <w:p w:rsidR="00CE31A6" w:rsidRDefault="00CE31A6" w:rsidP="00CE31A6">
      <w:pPr>
        <w:jc w:val="center"/>
      </w:pPr>
    </w:p>
    <w:p w:rsidR="00CE31A6" w:rsidRDefault="00CE31A6" w:rsidP="00CE31A6">
      <w:pPr>
        <w:jc w:val="center"/>
      </w:pPr>
    </w:p>
    <w:p w:rsidR="00F33514" w:rsidRDefault="00B12508" w:rsidP="00CE31A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A0045" w:rsidRPr="00CE31A6">
        <w:rPr>
          <w:sz w:val="24"/>
          <w:szCs w:val="24"/>
        </w:rPr>
        <w:t>On</w:t>
      </w:r>
      <w:r>
        <w:rPr>
          <w:sz w:val="24"/>
          <w:szCs w:val="24"/>
        </w:rPr>
        <w:t xml:space="preserve">e-day follow-up program </w:t>
      </w:r>
      <w:r w:rsidR="00712973">
        <w:rPr>
          <w:sz w:val="24"/>
          <w:szCs w:val="24"/>
        </w:rPr>
        <w:t xml:space="preserve">was </w:t>
      </w:r>
      <w:r w:rsidR="00712973" w:rsidRPr="00CE31A6">
        <w:rPr>
          <w:sz w:val="24"/>
          <w:szCs w:val="24"/>
        </w:rPr>
        <w:t>organized</w:t>
      </w:r>
      <w:r w:rsidR="00A57F3E" w:rsidRPr="00CE31A6">
        <w:rPr>
          <w:sz w:val="24"/>
          <w:szCs w:val="24"/>
        </w:rPr>
        <w:t xml:space="preserve"> by Teaching Learning Centre, Tezpur University</w:t>
      </w:r>
      <w:r w:rsidRPr="00B12508">
        <w:rPr>
          <w:sz w:val="24"/>
          <w:szCs w:val="24"/>
        </w:rPr>
        <w:t xml:space="preserve"> </w:t>
      </w:r>
      <w:r w:rsidRPr="00CE31A6">
        <w:rPr>
          <w:sz w:val="24"/>
          <w:szCs w:val="24"/>
        </w:rPr>
        <w:t>on April 25, 2018</w:t>
      </w:r>
      <w:r w:rsidR="00F33514">
        <w:rPr>
          <w:sz w:val="24"/>
          <w:szCs w:val="24"/>
        </w:rPr>
        <w:t xml:space="preserve"> for the beneficiaries of TLC training programs</w:t>
      </w:r>
      <w:r w:rsidR="00E505F1" w:rsidRPr="00CE31A6">
        <w:rPr>
          <w:sz w:val="24"/>
          <w:szCs w:val="24"/>
        </w:rPr>
        <w:t>.</w:t>
      </w:r>
      <w:r w:rsidR="00F33514">
        <w:rPr>
          <w:sz w:val="24"/>
          <w:szCs w:val="24"/>
        </w:rPr>
        <w:t xml:space="preserve"> The program was termed Convergence-I as this is the first phase of such a program. In Convergence-</w:t>
      </w:r>
      <w:r w:rsidR="00B04211">
        <w:rPr>
          <w:sz w:val="24"/>
          <w:szCs w:val="24"/>
        </w:rPr>
        <w:t>I</w:t>
      </w:r>
      <w:r w:rsidR="00B04211" w:rsidRPr="00CE31A6">
        <w:rPr>
          <w:sz w:val="24"/>
          <w:szCs w:val="24"/>
        </w:rPr>
        <w:t xml:space="preserve"> participants</w:t>
      </w:r>
      <w:r w:rsidR="00A57F3E" w:rsidRPr="00CE31A6">
        <w:rPr>
          <w:sz w:val="24"/>
          <w:szCs w:val="24"/>
        </w:rPr>
        <w:t xml:space="preserve"> from </w:t>
      </w:r>
      <w:r w:rsidR="00A57F3E" w:rsidRPr="00F33514">
        <w:rPr>
          <w:i/>
          <w:sz w:val="24"/>
          <w:szCs w:val="24"/>
        </w:rPr>
        <w:t>I</w:t>
      </w:r>
      <w:r w:rsidRPr="00F33514">
        <w:rPr>
          <w:i/>
          <w:sz w:val="24"/>
          <w:szCs w:val="24"/>
        </w:rPr>
        <w:t>nduction Training of Faculty</w:t>
      </w:r>
      <w:r w:rsidR="00A57F3E" w:rsidRPr="00F33514">
        <w:rPr>
          <w:i/>
          <w:sz w:val="24"/>
          <w:szCs w:val="24"/>
        </w:rPr>
        <w:t>-I</w:t>
      </w:r>
      <w:r w:rsidR="00A57F3E" w:rsidRPr="00CE31A6">
        <w:rPr>
          <w:sz w:val="24"/>
          <w:szCs w:val="24"/>
        </w:rPr>
        <w:t xml:space="preserve"> (</w:t>
      </w:r>
      <w:r>
        <w:rPr>
          <w:sz w:val="24"/>
          <w:szCs w:val="24"/>
        </w:rPr>
        <w:t>November 23 – December 22, 2017</w:t>
      </w:r>
      <w:r w:rsidR="00F33514">
        <w:rPr>
          <w:sz w:val="24"/>
          <w:szCs w:val="24"/>
        </w:rPr>
        <w:t>) were invited</w:t>
      </w:r>
      <w:r w:rsidR="00A57F3E" w:rsidRPr="00CE31A6">
        <w:rPr>
          <w:sz w:val="24"/>
          <w:szCs w:val="24"/>
        </w:rPr>
        <w:t xml:space="preserve"> to join the program and share their experiences and </w:t>
      </w:r>
      <w:r w:rsidR="00F33514">
        <w:rPr>
          <w:sz w:val="24"/>
          <w:szCs w:val="24"/>
        </w:rPr>
        <w:t>how they implemented the learning outcome of the training.  Altogether,</w:t>
      </w:r>
      <w:r w:rsidR="00CE31A6">
        <w:rPr>
          <w:sz w:val="24"/>
          <w:szCs w:val="24"/>
        </w:rPr>
        <w:t xml:space="preserve"> there were 15 participants from different department of the University. </w:t>
      </w:r>
      <w:r w:rsidR="00F33514">
        <w:rPr>
          <w:sz w:val="24"/>
          <w:szCs w:val="24"/>
        </w:rPr>
        <w:t>In addition,</w:t>
      </w:r>
      <w:r w:rsidR="00CE31A6">
        <w:rPr>
          <w:sz w:val="24"/>
          <w:szCs w:val="24"/>
        </w:rPr>
        <w:t xml:space="preserve"> 2 outstation participants joined the discussion </w:t>
      </w:r>
      <w:r w:rsidR="00F33514">
        <w:rPr>
          <w:sz w:val="24"/>
          <w:szCs w:val="24"/>
        </w:rPr>
        <w:t xml:space="preserve">online. The program was broadcasted live on TLC YouTube Channel. </w:t>
      </w:r>
    </w:p>
    <w:p w:rsidR="00F33514" w:rsidRDefault="00A57F3E" w:rsidP="00CE31A6">
      <w:pPr>
        <w:spacing w:line="360" w:lineRule="auto"/>
        <w:jc w:val="both"/>
        <w:rPr>
          <w:sz w:val="24"/>
          <w:szCs w:val="24"/>
        </w:rPr>
      </w:pPr>
      <w:r w:rsidRPr="00CE31A6">
        <w:rPr>
          <w:sz w:val="24"/>
          <w:szCs w:val="24"/>
        </w:rPr>
        <w:t>The</w:t>
      </w:r>
      <w:r w:rsidR="00CE31A6">
        <w:rPr>
          <w:sz w:val="24"/>
          <w:szCs w:val="24"/>
        </w:rPr>
        <w:t xml:space="preserve"> </w:t>
      </w:r>
      <w:r w:rsidRPr="00CE31A6">
        <w:rPr>
          <w:sz w:val="24"/>
          <w:szCs w:val="24"/>
        </w:rPr>
        <w:t>Director, TLC</w:t>
      </w:r>
      <w:r w:rsidR="00CE31A6">
        <w:rPr>
          <w:sz w:val="24"/>
          <w:szCs w:val="24"/>
        </w:rPr>
        <w:t>, TU</w:t>
      </w:r>
      <w:r w:rsidRPr="00CE31A6">
        <w:rPr>
          <w:sz w:val="24"/>
          <w:szCs w:val="24"/>
        </w:rPr>
        <w:t xml:space="preserve"> started with welcome address and discussed about TLC’s action plan of current quarter </w:t>
      </w:r>
      <w:r w:rsidR="00CE31A6">
        <w:rPr>
          <w:sz w:val="24"/>
          <w:szCs w:val="24"/>
        </w:rPr>
        <w:t xml:space="preserve">(April – June, 2018) </w:t>
      </w:r>
      <w:r w:rsidRPr="00CE31A6">
        <w:rPr>
          <w:sz w:val="24"/>
          <w:szCs w:val="24"/>
        </w:rPr>
        <w:t>that is about Action Research, e-module and e-resources</w:t>
      </w:r>
      <w:r w:rsidR="00CE31A6">
        <w:rPr>
          <w:sz w:val="24"/>
          <w:szCs w:val="24"/>
        </w:rPr>
        <w:t xml:space="preserve"> development</w:t>
      </w:r>
      <w:r w:rsidRPr="00CE31A6">
        <w:rPr>
          <w:sz w:val="24"/>
          <w:szCs w:val="24"/>
        </w:rPr>
        <w:t xml:space="preserve">. </w:t>
      </w:r>
      <w:r w:rsidR="00F33514">
        <w:rPr>
          <w:sz w:val="24"/>
          <w:szCs w:val="24"/>
        </w:rPr>
        <w:t xml:space="preserve">Then the director discussed about the beneficiaries </w:t>
      </w:r>
      <w:r w:rsidR="00277682">
        <w:rPr>
          <w:sz w:val="24"/>
          <w:szCs w:val="24"/>
        </w:rPr>
        <w:t xml:space="preserve">that they </w:t>
      </w:r>
      <w:r w:rsidR="00F33514">
        <w:rPr>
          <w:sz w:val="24"/>
          <w:szCs w:val="24"/>
        </w:rPr>
        <w:t xml:space="preserve">can contribute </w:t>
      </w:r>
      <w:r w:rsidR="00277682">
        <w:rPr>
          <w:sz w:val="24"/>
          <w:szCs w:val="24"/>
        </w:rPr>
        <w:t>to</w:t>
      </w:r>
      <w:r w:rsidR="00B04211">
        <w:rPr>
          <w:sz w:val="24"/>
          <w:szCs w:val="24"/>
        </w:rPr>
        <w:t xml:space="preserve"> the enhancement of teaching learning process through programs conducted by TLC. The following things were discussed</w:t>
      </w:r>
      <w:r w:rsidR="00277682">
        <w:rPr>
          <w:sz w:val="24"/>
          <w:szCs w:val="24"/>
        </w:rPr>
        <w:t xml:space="preserve"> in the program</w:t>
      </w:r>
      <w:bookmarkStart w:id="0" w:name="_GoBack"/>
      <w:bookmarkEnd w:id="0"/>
      <w:r w:rsidR="00B04211">
        <w:rPr>
          <w:sz w:val="24"/>
          <w:szCs w:val="24"/>
        </w:rPr>
        <w:t>:</w:t>
      </w:r>
    </w:p>
    <w:p w:rsidR="00B04211" w:rsidRDefault="00B04211" w:rsidP="00CE31A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Conducting Experimental Action Research in different departments.</w:t>
      </w:r>
    </w:p>
    <w:p w:rsidR="00B04211" w:rsidRDefault="00B04211" w:rsidP="00CE31A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4114E">
        <w:rPr>
          <w:sz w:val="24"/>
          <w:szCs w:val="24"/>
        </w:rPr>
        <w:t xml:space="preserve"> Generating</w:t>
      </w:r>
      <w:r>
        <w:rPr>
          <w:sz w:val="24"/>
          <w:szCs w:val="24"/>
        </w:rPr>
        <w:t xml:space="preserve"> discipline specific video content</w:t>
      </w:r>
    </w:p>
    <w:p w:rsidR="00B04211" w:rsidRDefault="00B04211" w:rsidP="00CE31A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4114E">
        <w:rPr>
          <w:sz w:val="24"/>
          <w:szCs w:val="24"/>
        </w:rPr>
        <w:t xml:space="preserve"> Contributing to TLC E-Resource Repository</w:t>
      </w:r>
    </w:p>
    <w:p w:rsidR="0014114E" w:rsidRDefault="0014114E" w:rsidP="00CE31A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participants discussed about different aspects in relation to these three programs. Most of them showed interest in contributing to these fields. It was also announced that a workshop on action research would be conducted to guide and motivate the young teachers.</w:t>
      </w:r>
    </w:p>
    <w:p w:rsidR="0014114E" w:rsidRDefault="0014114E" w:rsidP="00CE31A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follow up meet was successfully concluded with a thank you note.</w:t>
      </w:r>
    </w:p>
    <w:p w:rsidR="0014114E" w:rsidRDefault="0014114E" w:rsidP="00CE31A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Some photographs of the program </w:t>
      </w:r>
      <w:r w:rsidR="007164C5">
        <w:rPr>
          <w:sz w:val="24"/>
          <w:szCs w:val="24"/>
        </w:rPr>
        <w:t>are attached</w:t>
      </w:r>
      <w:r>
        <w:rPr>
          <w:sz w:val="24"/>
          <w:szCs w:val="24"/>
        </w:rPr>
        <w:t xml:space="preserve"> below.</w:t>
      </w:r>
    </w:p>
    <w:p w:rsidR="00390CF1" w:rsidRPr="00CE31A6" w:rsidRDefault="007164C5" w:rsidP="00CE31A6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43600" cy="4457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80425_165206847_HD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F3E" w:rsidRPr="00CE31A6" w:rsidRDefault="007164C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33712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180425_165151585_HD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7F3E" w:rsidRPr="00CE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A81"/>
    <w:rsid w:val="0014114E"/>
    <w:rsid w:val="00277682"/>
    <w:rsid w:val="00390CF1"/>
    <w:rsid w:val="00712973"/>
    <w:rsid w:val="007164C5"/>
    <w:rsid w:val="007D32BB"/>
    <w:rsid w:val="00A57F3E"/>
    <w:rsid w:val="00A82480"/>
    <w:rsid w:val="00AA0045"/>
    <w:rsid w:val="00B04211"/>
    <w:rsid w:val="00B12508"/>
    <w:rsid w:val="00CE31A6"/>
    <w:rsid w:val="00E505F1"/>
    <w:rsid w:val="00E604B3"/>
    <w:rsid w:val="00F33514"/>
    <w:rsid w:val="00F3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4FEC6"/>
  <w15:chartTrackingRefBased/>
  <w15:docId w15:val="{2D010F4C-ED29-4FCF-A737-76F7E8A0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2018-05-16T19:43:00Z</dcterms:created>
  <dcterms:modified xsi:type="dcterms:W3CDTF">2018-05-31T05:25:00Z</dcterms:modified>
</cp:coreProperties>
</file>